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39" w:tblpY="2073"/>
        <w:tblOverlap w:val="never"/>
        <w:tblW w:w="81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605"/>
        <w:gridCol w:w="1065"/>
        <w:gridCol w:w="1635"/>
        <w:gridCol w:w="1170"/>
        <w:gridCol w:w="15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6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6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5445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系别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本人联系电话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家长姓名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家长电话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休学时间</w:t>
            </w:r>
          </w:p>
        </w:tc>
        <w:tc>
          <w:tcPr>
            <w:tcW w:w="70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 　年    　月　  　日　　　至　　　年　　　月　　　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休学原因</w:t>
            </w:r>
          </w:p>
        </w:tc>
        <w:tc>
          <w:tcPr>
            <w:tcW w:w="7050" w:type="dxa"/>
            <w:gridSpan w:val="5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家长意见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签字: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　　月　　日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辅导员/班主任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0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签字: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年　　月　　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06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分院(部)意见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签(章):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年　　月　　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0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签(章)：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年 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0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校领导审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批批示</w:t>
            </w:r>
          </w:p>
        </w:tc>
        <w:tc>
          <w:tcPr>
            <w:tcW w:w="7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　　　　　　　　　　　　　　   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   月   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景德镇陶瓷职业技术学院休学申请表</w:t>
      </w:r>
    </w:p>
    <w:p>
      <w:pPr>
        <w:jc w:val="left"/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说明：1、所需休学材料均以附件方式放在该申请书后。2、“家长意见”栏如家长无法到校签字请班主任(辅导员)将与家长联系情况及家长意见在“班主任(辅导员)意见”栏加以说明。3、休学期满后应按时返校办理复学手续，否则超过复学时间将按学籍管理有关规定进行处理。4、学生休学申请书，教务处，系部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DD8"/>
    <w:rsid w:val="00FF6DD8"/>
    <w:rsid w:val="0CDF0B7D"/>
    <w:rsid w:val="37672B46"/>
    <w:rsid w:val="3D953174"/>
    <w:rsid w:val="71417113"/>
    <w:rsid w:val="76927F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2016-03-24T01:44:00Z</dcterms:created>
  <dc:creator>Administrator</dc:creator>
  <cp:lastModifiedBy>偷故事的人</cp:lastModifiedBy>
  <cp:lastPrinted>2016-03-24T01:55:00Z</cp:lastPrinted>
  <dcterms:modified xsi:type="dcterms:W3CDTF">2022-06-02T02:58:03Z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F72504B7706547A28143871D5683CFAD</vt:lpwstr>
  </property>
</Properties>
</file>